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6C40" w:rsidRPr="00EB47DB" w:rsidRDefault="00EB47DB">
      <w:pPr>
        <w:contextualSpacing w:val="0"/>
        <w:rPr>
          <w:lang w:val="en-US"/>
        </w:rPr>
      </w:pPr>
      <w:bookmarkStart w:id="0" w:name="_GoBack"/>
      <w:bookmarkEnd w:id="0"/>
      <w:r w:rsidRPr="00EB47DB">
        <w:rPr>
          <w:b/>
          <w:sz w:val="28"/>
          <w:lang w:val="en-US"/>
        </w:rPr>
        <w:t>Committee on Culture and Education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i/>
          <w:sz w:val="24"/>
          <w:lang w:val="en-US"/>
        </w:rPr>
        <w:t>Dear delegates of the Committee on Culture and Education,</w:t>
      </w: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sz w:val="24"/>
          <w:lang w:val="en-US"/>
        </w:rPr>
        <w:t xml:space="preserve">The topic of this committee is centered </w:t>
      </w:r>
      <w:proofErr w:type="gramStart"/>
      <w:r w:rsidRPr="00EB47DB">
        <w:rPr>
          <w:sz w:val="24"/>
          <w:lang w:val="en-US"/>
        </w:rPr>
        <w:t>around</w:t>
      </w:r>
      <w:proofErr w:type="gramEnd"/>
      <w:r w:rsidRPr="00EB47DB">
        <w:rPr>
          <w:sz w:val="24"/>
          <w:lang w:val="en-US"/>
        </w:rPr>
        <w:t xml:space="preserve"> the question of modernisation of higher education throughout Europe. Should we be striving towards an EU-wide education policy in order assure equal standards and easier access to work placements all around Eu</w:t>
      </w:r>
      <w:r w:rsidRPr="00EB47DB">
        <w:rPr>
          <w:sz w:val="24"/>
          <w:lang w:val="en-US"/>
        </w:rPr>
        <w:t>rope? What can we do to improve mobility and education of young people?</w:t>
      </w:r>
      <w:r w:rsidRPr="00EB47DB">
        <w:rPr>
          <w:sz w:val="24"/>
          <w:lang w:val="en-US"/>
        </w:rPr>
        <w:br/>
        <w:t>These are the main questions this committee will need to discuss and eventually answer during committee work.</w:t>
      </w: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sz w:val="24"/>
          <w:lang w:val="en-US"/>
        </w:rPr>
        <w:t xml:space="preserve">In order for you to prepare for it, I, your Committee President, wrote up </w:t>
      </w:r>
      <w:r w:rsidRPr="00EB47DB">
        <w:rPr>
          <w:sz w:val="24"/>
          <w:lang w:val="en-US"/>
        </w:rPr>
        <w:t>some links you can start from. Please use them to form a broader insight of the topic.</w:t>
      </w:r>
      <w:r w:rsidRPr="00EB47DB">
        <w:rPr>
          <w:sz w:val="24"/>
          <w:lang w:val="en-US"/>
        </w:rPr>
        <w:br/>
        <w:t xml:space="preserve">I strongly advise you, though, to further research the subject matter for it </w:t>
      </w:r>
      <w:proofErr w:type="gramStart"/>
      <w:r w:rsidRPr="00EB47DB">
        <w:rPr>
          <w:sz w:val="24"/>
          <w:lang w:val="en-US"/>
        </w:rPr>
        <w:t>is</w:t>
      </w:r>
      <w:proofErr w:type="gramEnd"/>
      <w:r w:rsidRPr="00EB47DB">
        <w:rPr>
          <w:sz w:val="24"/>
          <w:lang w:val="en-US"/>
        </w:rPr>
        <w:t xml:space="preserve"> extremely wide in nature. Feel free to use every mean of information, such as magazines, </w:t>
      </w:r>
      <w:r w:rsidRPr="00EB47DB">
        <w:rPr>
          <w:sz w:val="24"/>
          <w:lang w:val="en-US"/>
        </w:rPr>
        <w:t>websites, documentaries and articles.</w:t>
      </w: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sz w:val="24"/>
          <w:lang w:val="en-US"/>
        </w:rPr>
        <w:t>In order to write a strong resolution, it is essential you all work hard individually so the whole group can benefit from everybody’s effort. I expect you to be (and I am sure you will, in fact, be) well prepared, high</w:t>
      </w:r>
      <w:r w:rsidRPr="00EB47DB">
        <w:rPr>
          <w:sz w:val="24"/>
          <w:lang w:val="en-US"/>
        </w:rPr>
        <w:t>ly motivated and willing to work together as a team.</w:t>
      </w: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sz w:val="24"/>
          <w:lang w:val="en-US"/>
        </w:rPr>
        <w:t>I hope this short list of links will be useful for your preparation and I am very looking forward to meet you all in Vienna at the end of March.</w:t>
      </w:r>
    </w:p>
    <w:p w:rsidR="008E6C40" w:rsidRPr="00EB47DB" w:rsidRDefault="00EB47DB">
      <w:pPr>
        <w:spacing w:after="200"/>
        <w:contextualSpacing w:val="0"/>
        <w:rPr>
          <w:lang w:val="en-US"/>
        </w:rPr>
      </w:pPr>
      <w:r w:rsidRPr="00EB47DB">
        <w:rPr>
          <w:i/>
          <w:sz w:val="24"/>
          <w:lang w:val="en-US"/>
        </w:rPr>
        <w:t>Enrico Artuso, your Committee President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b/>
          <w:sz w:val="28"/>
          <w:u w:val="single"/>
          <w:lang w:val="en-US"/>
        </w:rPr>
        <w:t>Links:</w:t>
      </w: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</w:instrText>
      </w:r>
      <w:r w:rsidRPr="00EB47DB">
        <w:rPr>
          <w:lang w:val="en-US"/>
        </w:rPr>
        <w:instrText xml:space="preserve">LINK "http://europa.eu/legislation_summaries/education_training_youth/lifelong_learning/c11088_en.htm"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http://europa.eu/legislation_summaries/education_training_youth/lifelong_learning/c11088_en.htm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proofErr w:type="gramStart"/>
      <w:r w:rsidRPr="00EB47DB">
        <w:rPr>
          <w:sz w:val="24"/>
          <w:lang w:val="en-US"/>
        </w:rPr>
        <w:t>General background on the Bologna Process and subsequ</w:t>
      </w:r>
      <w:r w:rsidRPr="00EB47DB">
        <w:rPr>
          <w:sz w:val="24"/>
          <w:lang w:val="en-US"/>
        </w:rPr>
        <w:t>ent meetings.</w:t>
      </w:r>
      <w:proofErr w:type="gramEnd"/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t>I suggest you to read also the Bologna Declaration, the Magna Charta Universitatum and the Sorbonne Declaration. You will find links to them in the website above.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HYPERLINK "https://lsasg.umich.edu/UMICH/ces/Home/Resources/Michigan%20Pape</w:instrText>
      </w:r>
      <w:r w:rsidRPr="00EB47DB">
        <w:rPr>
          <w:lang w:val="en-US"/>
        </w:rPr>
        <w:instrText xml:space="preserve">r%20Series/Lorenz_Will_Universities_Survive.pdf"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https://lsasg.umich.edu/UMICH/ces/Home/Resources/Michigan%20Paper%20Series/Lorenz_Will_Universities_Survive.pdf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t>Read paragraphs 1 and 2. A brief and critical explanation of the Bologna Process seen as an</w:t>
      </w:r>
      <w:r w:rsidRPr="00EB47DB">
        <w:rPr>
          <w:sz w:val="24"/>
          <w:lang w:val="en-US"/>
        </w:rPr>
        <w:t xml:space="preserve"> economical-like policy.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HYPERLINK "http://home.uevora.pt/~afreitas/Modernization%20of%20higher%20education%20in%20Europe.pdf"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http://home.uevora.pt/~afreitas/Modernization%20of%20higher%20education%20in%20Europe.pdf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lastRenderedPageBreak/>
        <w:t>Slides on why and how Higher Ed</w:t>
      </w:r>
      <w:r w:rsidRPr="00EB47DB">
        <w:rPr>
          <w:sz w:val="24"/>
          <w:lang w:val="en-US"/>
        </w:rPr>
        <w:t>ucation in Europe can be improved.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HYPERLINK "http://eacea.ec.europa.eu/index_en.php"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http://eacea.ec.europa.eu/index_en.php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proofErr w:type="gramStart"/>
      <w:r w:rsidRPr="00EB47DB">
        <w:rPr>
          <w:sz w:val="24"/>
          <w:lang w:val="en-US"/>
        </w:rPr>
        <w:t>Website of EACEA, containing information on Lifelong Learning Programmes.</w:t>
      </w:r>
      <w:proofErr w:type="gramEnd"/>
      <w:r w:rsidRPr="00EB47DB">
        <w:rPr>
          <w:sz w:val="24"/>
          <w:lang w:val="en-US"/>
        </w:rPr>
        <w:t xml:space="preserve"> Focus mainly on the Erasmus+ Programme and the Eu</w:t>
      </w:r>
      <w:r w:rsidRPr="00EB47DB">
        <w:rPr>
          <w:sz w:val="24"/>
          <w:lang w:val="en-US"/>
        </w:rPr>
        <w:t>rydice Network.</w:t>
      </w:r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i/>
          <w:sz w:val="24"/>
          <w:u w:val="single"/>
          <w:lang w:val="en-US"/>
        </w:rPr>
        <w:t>Note</w:t>
      </w:r>
      <w:r w:rsidRPr="00EB47DB">
        <w:rPr>
          <w:sz w:val="24"/>
          <w:lang w:val="en-US"/>
        </w:rPr>
        <w:t>: Information about Erasmus+ on this page is lacking at the moment of writing, but it’s expected to be filled in soon.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HYPERLINK "http://ec.europa.eu/education/library/reports/modernisation_en.pdf"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http://ec.europa.eu/education/</w:t>
      </w:r>
      <w:r w:rsidRPr="00EB47DB">
        <w:rPr>
          <w:color w:val="1155CC"/>
          <w:sz w:val="24"/>
          <w:u w:val="single"/>
          <w:lang w:val="en-US"/>
        </w:rPr>
        <w:t>library/reports/modernisation_en.pdf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proofErr w:type="gramStart"/>
      <w:r w:rsidRPr="00EB47DB">
        <w:rPr>
          <w:sz w:val="24"/>
          <w:lang w:val="en-US"/>
        </w:rPr>
        <w:t>In-depth report on modernisation in European Higher Education Institutions.</w:t>
      </w:r>
      <w:proofErr w:type="gramEnd"/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t>Long but interesting reading.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r>
        <w:fldChar w:fldCharType="begin"/>
      </w:r>
      <w:r w:rsidRPr="00EB47DB">
        <w:rPr>
          <w:lang w:val="en-US"/>
        </w:rPr>
        <w:instrText xml:space="preserve"> HYPERLINK "http://europa.eu/legislation_summaries/education_training_youth/vocational_training/c11104_en.htm" \h </w:instrText>
      </w:r>
      <w:r>
        <w:fldChar w:fldCharType="separate"/>
      </w:r>
      <w:r w:rsidRPr="00EB47DB">
        <w:rPr>
          <w:color w:val="1155CC"/>
          <w:sz w:val="24"/>
          <w:u w:val="single"/>
          <w:lang w:val="en-US"/>
        </w:rPr>
        <w:t>http://europa.eu/legislation_summaries/education_training_youth/vocational_training/c11104_en.htm</w:t>
      </w:r>
      <w:r>
        <w:rPr>
          <w:color w:val="1155CC"/>
          <w:sz w:val="24"/>
          <w:u w:val="single"/>
        </w:rPr>
        <w:fldChar w:fldCharType="end"/>
      </w:r>
    </w:p>
    <w:p w:rsidR="008E6C40" w:rsidRPr="00EB47DB" w:rsidRDefault="00EB47DB">
      <w:pPr>
        <w:contextualSpacing w:val="0"/>
        <w:rPr>
          <w:lang w:val="en-US"/>
        </w:rPr>
      </w:pPr>
      <w:proofErr w:type="gramStart"/>
      <w:r w:rsidRPr="00EB47DB">
        <w:rPr>
          <w:sz w:val="24"/>
          <w:lang w:val="en-US"/>
        </w:rPr>
        <w:t>Brief introduction to the European Qualific</w:t>
      </w:r>
      <w:r w:rsidRPr="00EB47DB">
        <w:rPr>
          <w:sz w:val="24"/>
          <w:lang w:val="en-US"/>
        </w:rPr>
        <w:t>ation Framework (EQF).</w:t>
      </w:r>
      <w:proofErr w:type="gramEnd"/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hyperlink r:id="rId5">
        <w:r w:rsidRPr="00EB47DB">
          <w:rPr>
            <w:color w:val="1155CC"/>
            <w:sz w:val="24"/>
            <w:u w:val="single"/>
            <w:lang w:val="en-US"/>
          </w:rPr>
          <w:t>http://ec.europa.eu/eqf/home_en.htm</w:t>
        </w:r>
      </w:hyperlink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t>Official portal of EQF. Make sure to look through the Useful Links section.</w:t>
      </w:r>
    </w:p>
    <w:p w:rsidR="008E6C40" w:rsidRPr="00EB47DB" w:rsidRDefault="008E6C40">
      <w:pPr>
        <w:contextualSpacing w:val="0"/>
        <w:rPr>
          <w:lang w:val="en-US"/>
        </w:rPr>
      </w:pPr>
    </w:p>
    <w:p w:rsidR="008E6C40" w:rsidRPr="00EB47DB" w:rsidRDefault="00EB47DB">
      <w:pPr>
        <w:contextualSpacing w:val="0"/>
        <w:rPr>
          <w:lang w:val="en-US"/>
        </w:rPr>
      </w:pPr>
      <w:hyperlink r:id="rId6">
        <w:r w:rsidRPr="00EB47DB">
          <w:rPr>
            <w:color w:val="1155CC"/>
            <w:sz w:val="24"/>
            <w:u w:val="single"/>
            <w:lang w:val="en-US"/>
          </w:rPr>
          <w:t>Broch</w:t>
        </w:r>
        <w:r w:rsidRPr="00EB47DB">
          <w:rPr>
            <w:color w:val="1155CC"/>
            <w:sz w:val="24"/>
            <w:u w:val="single"/>
            <w:lang w:val="en-US"/>
          </w:rPr>
          <w:t>ure of EQF</w:t>
        </w:r>
      </w:hyperlink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sz w:val="24"/>
          <w:lang w:val="en-US"/>
        </w:rPr>
        <w:t>Official brochure explaining the EQF.</w:t>
      </w:r>
    </w:p>
    <w:p w:rsidR="008E6C40" w:rsidRPr="00EB47DB" w:rsidRDefault="00EB47DB">
      <w:pPr>
        <w:contextualSpacing w:val="0"/>
        <w:rPr>
          <w:lang w:val="en-US"/>
        </w:rPr>
      </w:pPr>
      <w:r w:rsidRPr="00EB47DB">
        <w:rPr>
          <w:i/>
          <w:sz w:val="24"/>
          <w:u w:val="single"/>
          <w:lang w:val="en-US"/>
        </w:rPr>
        <w:t>Note</w:t>
      </w:r>
      <w:r w:rsidRPr="00EB47DB">
        <w:rPr>
          <w:sz w:val="24"/>
          <w:lang w:val="en-US"/>
        </w:rPr>
        <w:t xml:space="preserve">: you can find a more legible table of the descriptors at </w:t>
      </w:r>
      <w:hyperlink r:id="rId7">
        <w:r w:rsidRPr="00EB47DB">
          <w:rPr>
            <w:color w:val="1155CC"/>
            <w:sz w:val="24"/>
            <w:u w:val="single"/>
            <w:lang w:val="en-US"/>
          </w:rPr>
          <w:t>http://en.wikipedia.org/wiki/European_Qualifications_Framework</w:t>
        </w:r>
      </w:hyperlink>
    </w:p>
    <w:sectPr w:rsidR="008E6C40" w:rsidRPr="00EB47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E6C40"/>
    <w:rsid w:val="008E6C40"/>
    <w:rsid w:val="00E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uropean_Qualifications_Framew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eqf/documents?id=29" TargetMode="External"/><Relationship Id="rId5" Type="http://schemas.openxmlformats.org/officeDocument/2006/relationships/hyperlink" Target="http://ec.europa.eu/eqf/home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MepVienna2014_committee5_links.docx</vt:lpstr>
    </vt:vector>
  </TitlesOfParts>
  <Company>Theresianum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MepVienna2014_committee5_links.docx</dc:title>
  <dc:creator>Lehrer</dc:creator>
  <cp:lastModifiedBy>Lehrer</cp:lastModifiedBy>
  <cp:revision>2</cp:revision>
  <dcterms:created xsi:type="dcterms:W3CDTF">2014-02-14T08:22:00Z</dcterms:created>
  <dcterms:modified xsi:type="dcterms:W3CDTF">2014-02-14T08:22:00Z</dcterms:modified>
</cp:coreProperties>
</file>